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BCC6" w14:textId="77777777" w:rsidR="00A8123A" w:rsidRDefault="00A8123A" w:rsidP="00A8123A">
      <w:pPr>
        <w:autoSpaceDE/>
        <w:spacing w:line="276" w:lineRule="auto"/>
        <w:rPr>
          <w:rFonts w:ascii="Garamond" w:eastAsia="Times New Roman" w:hAnsi="Garamond"/>
          <w:b/>
          <w:bCs/>
          <w:i/>
          <w:sz w:val="18"/>
          <w:szCs w:val="18"/>
          <w:lang w:val="ro-RO" w:eastAsia="ro-RO"/>
        </w:rPr>
      </w:pPr>
      <w:r>
        <w:rPr>
          <w:rFonts w:ascii="Calibri" w:eastAsia="Calibri" w:hAnsi="Calibri"/>
          <w:sz w:val="16"/>
          <w:lang w:val="ro-RO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18"/>
          <w:szCs w:val="18"/>
          <w:lang w:val="ro-RO"/>
        </w:rPr>
        <w:br w:type="textWrapping" w:clear="all"/>
      </w:r>
      <w:r>
        <w:rPr>
          <w:rFonts w:ascii="Garamond" w:eastAsia="Times New Roman" w:hAnsi="Garamond"/>
          <w:b/>
          <w:bCs/>
          <w:i/>
          <w:sz w:val="18"/>
          <w:szCs w:val="18"/>
          <w:lang w:val="ro-RO" w:eastAsia="ro-RO"/>
        </w:rPr>
        <w:t>ROMÂNIA</w:t>
      </w:r>
    </w:p>
    <w:p w14:paraId="4E1BEA32" w14:textId="77777777" w:rsidR="00A8123A" w:rsidRDefault="00A8123A" w:rsidP="00A8123A">
      <w:pPr>
        <w:tabs>
          <w:tab w:val="center" w:pos="4536"/>
          <w:tab w:val="right" w:pos="9072"/>
        </w:tabs>
        <w:suppressAutoHyphens/>
        <w:autoSpaceDE/>
        <w:rPr>
          <w:rFonts w:ascii="Garamond" w:eastAsia="Times New Roman" w:hAnsi="Garamond"/>
          <w:b/>
          <w:i/>
          <w:sz w:val="18"/>
          <w:szCs w:val="18"/>
          <w:lang w:val="ro-RO"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JUDEŢUL ALBA</w:t>
      </w:r>
    </w:p>
    <w:p w14:paraId="1FF45A15" w14:textId="77777777" w:rsidR="00A8123A" w:rsidRDefault="00A8123A" w:rsidP="00A8123A">
      <w:pPr>
        <w:tabs>
          <w:tab w:val="center" w:pos="4536"/>
          <w:tab w:val="right" w:pos="9072"/>
        </w:tabs>
        <w:suppressAutoHyphens/>
        <w:autoSpaceDE/>
        <w:rPr>
          <w:rFonts w:ascii="Cambria" w:eastAsia="Times New Roman" w:hAnsi="Cambria"/>
          <w:b/>
          <w:i/>
          <w:sz w:val="18"/>
          <w:szCs w:val="18"/>
          <w:lang w:val="ro-RO"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COMUNA OCOLI</w:t>
      </w:r>
      <w:r>
        <w:rPr>
          <w:rFonts w:ascii="Cambria" w:eastAsia="Times New Roman" w:hAnsi="Cambria"/>
          <w:b/>
          <w:i/>
          <w:sz w:val="18"/>
          <w:szCs w:val="18"/>
          <w:lang w:val="ro-RO" w:eastAsia="ro-RO"/>
        </w:rPr>
        <w:t xml:space="preserve">Ș </w:t>
      </w:r>
    </w:p>
    <w:p w14:paraId="7C3089E7" w14:textId="77777777" w:rsidR="00A8123A" w:rsidRDefault="00A8123A" w:rsidP="00A8123A">
      <w:pPr>
        <w:tabs>
          <w:tab w:val="center" w:pos="4536"/>
          <w:tab w:val="right" w:pos="9072"/>
        </w:tabs>
        <w:suppressAutoHyphens/>
        <w:autoSpaceDE/>
        <w:rPr>
          <w:rFonts w:ascii="Cambria" w:eastAsia="Times New Roman" w:hAnsi="Cambria"/>
          <w:b/>
          <w:i/>
          <w:sz w:val="18"/>
          <w:szCs w:val="18"/>
          <w:lang w:val="ro-RO" w:eastAsia="ro-RO"/>
        </w:rPr>
      </w:pPr>
      <w:r>
        <w:rPr>
          <w:rFonts w:ascii="Cambria" w:eastAsia="Times New Roman" w:hAnsi="Cambria"/>
          <w:b/>
          <w:i/>
          <w:sz w:val="18"/>
          <w:szCs w:val="18"/>
          <w:lang w:val="ro-RO" w:eastAsia="ro-RO"/>
        </w:rPr>
        <w:t xml:space="preserve">CONSILIUL LOCAL </w:t>
      </w:r>
    </w:p>
    <w:p w14:paraId="6D275E8C" w14:textId="77777777" w:rsidR="00A8123A" w:rsidRDefault="00A8123A" w:rsidP="00A8123A">
      <w:pPr>
        <w:pBdr>
          <w:bottom w:val="single" w:sz="4" w:space="1" w:color="auto"/>
        </w:pBdr>
        <w:tabs>
          <w:tab w:val="center" w:pos="4536"/>
          <w:tab w:val="right" w:pos="9072"/>
        </w:tabs>
        <w:suppressAutoHyphens/>
        <w:autoSpaceDE/>
        <w:rPr>
          <w:rFonts w:ascii="Garamond" w:eastAsia="Times New Roman" w:hAnsi="Garamond"/>
          <w:b/>
          <w:i/>
          <w:sz w:val="18"/>
          <w:szCs w:val="18"/>
          <w:u w:val="single"/>
          <w:lang w:val="ro-RO" w:eastAsia="ro-RO"/>
        </w:rPr>
      </w:pPr>
    </w:p>
    <w:p w14:paraId="1A6315FA" w14:textId="77777777" w:rsidR="00A8123A" w:rsidRDefault="00A8123A" w:rsidP="00A8123A">
      <w:pPr>
        <w:tabs>
          <w:tab w:val="center" w:pos="4536"/>
          <w:tab w:val="right" w:pos="9072"/>
        </w:tabs>
        <w:suppressAutoHyphens/>
        <w:autoSpaceDE/>
        <w:rPr>
          <w:rFonts w:ascii="Garamond" w:eastAsia="Times New Roman" w:hAnsi="Garamond"/>
          <w:b/>
          <w:i/>
          <w:sz w:val="18"/>
          <w:szCs w:val="18"/>
          <w:lang w:val="ro-RO"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Comuna OCOLI</w:t>
      </w:r>
      <w:r>
        <w:rPr>
          <w:rFonts w:ascii="Cambria" w:eastAsia="Times New Roman" w:hAnsi="Cambria"/>
          <w:b/>
          <w:i/>
          <w:sz w:val="18"/>
          <w:szCs w:val="18"/>
          <w:lang w:val="ro-RO" w:eastAsia="ro-RO"/>
        </w:rPr>
        <w:t xml:space="preserve">Ș </w:t>
      </w: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 xml:space="preserve">, nr. 152, </w:t>
      </w:r>
      <w:proofErr w:type="spellStart"/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judeţul</w:t>
      </w:r>
      <w:proofErr w:type="spellEnd"/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 xml:space="preserve"> Alba, CP 517525</w:t>
      </w:r>
    </w:p>
    <w:p w14:paraId="664EC7B3" w14:textId="77777777" w:rsidR="00A8123A" w:rsidRDefault="00A8123A" w:rsidP="00A8123A">
      <w:pPr>
        <w:tabs>
          <w:tab w:val="center" w:pos="4536"/>
          <w:tab w:val="right" w:pos="9072"/>
        </w:tabs>
        <w:suppressAutoHyphens/>
        <w:autoSpaceDE/>
        <w:rPr>
          <w:rFonts w:ascii="Garamond" w:eastAsia="Times New Roman" w:hAnsi="Garamond"/>
          <w:b/>
          <w:i/>
          <w:sz w:val="18"/>
          <w:szCs w:val="18"/>
          <w:lang w:val="ro-RO"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Tel/Fax: 0258-700888</w:t>
      </w:r>
    </w:p>
    <w:p w14:paraId="774FFA7C" w14:textId="77777777" w:rsidR="00A8123A" w:rsidRDefault="00A8123A" w:rsidP="00A8123A">
      <w:pPr>
        <w:autoSpaceDE/>
        <w:spacing w:after="200" w:line="276" w:lineRule="auto"/>
        <w:rPr>
          <w:rFonts w:ascii="Garamond" w:eastAsia="Times New Roman" w:hAnsi="Garamond"/>
          <w:b/>
          <w:i/>
          <w:sz w:val="18"/>
          <w:szCs w:val="18"/>
          <w:lang w:val="ro-RO" w:eastAsia="ro-RO"/>
        </w:rPr>
      </w:pPr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 xml:space="preserve">e-mail:  </w:t>
      </w:r>
      <w:proofErr w:type="spellStart"/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>ocolis</w:t>
      </w:r>
      <w:proofErr w:type="spellEnd"/>
      <w:r>
        <w:rPr>
          <w:rFonts w:ascii="Garamond" w:eastAsia="Times New Roman" w:hAnsi="Garamond"/>
          <w:b/>
          <w:i/>
          <w:sz w:val="18"/>
          <w:szCs w:val="18"/>
          <w:lang w:val="ro-RO" w:eastAsia="ro-RO"/>
        </w:rPr>
        <w:t xml:space="preserve"> @ab.e-adm.ro </w:t>
      </w:r>
    </w:p>
    <w:p w14:paraId="52496CCB" w14:textId="3C0AD57D" w:rsidR="00A8123A" w:rsidRDefault="00A8123A" w:rsidP="00A8123A">
      <w:pPr>
        <w:autoSpaceDE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sz w:val="24"/>
          <w:szCs w:val="24"/>
          <w:lang w:val="ro-RO"/>
        </w:rPr>
        <w:t xml:space="preserve">PROIECT DE HOTĂRÂRE Nr. </w:t>
      </w:r>
      <w:r w:rsidR="00B06534">
        <w:rPr>
          <w:rFonts w:ascii="Times New Roman" w:eastAsia="Calibri" w:hAnsi="Times New Roman"/>
          <w:b/>
          <w:sz w:val="24"/>
          <w:szCs w:val="24"/>
          <w:lang w:val="ro-RO"/>
        </w:rPr>
        <w:t>7</w:t>
      </w:r>
      <w:r w:rsidR="00012B04">
        <w:rPr>
          <w:rFonts w:ascii="Times New Roman" w:eastAsia="Calibri" w:hAnsi="Times New Roman"/>
          <w:b/>
          <w:sz w:val="24"/>
          <w:szCs w:val="24"/>
          <w:lang w:val="ro-RO"/>
        </w:rPr>
        <w:t>3</w:t>
      </w:r>
      <w:r>
        <w:rPr>
          <w:rFonts w:ascii="Times New Roman" w:eastAsia="Calibri" w:hAnsi="Times New Roman"/>
          <w:b/>
          <w:sz w:val="24"/>
          <w:szCs w:val="24"/>
          <w:lang w:val="ro-RO"/>
        </w:rPr>
        <w:t xml:space="preserve"> /</w:t>
      </w:r>
      <w:r w:rsidR="00012B04">
        <w:rPr>
          <w:rFonts w:ascii="Times New Roman" w:eastAsia="Calibri" w:hAnsi="Times New Roman"/>
          <w:b/>
          <w:sz w:val="24"/>
          <w:szCs w:val="24"/>
          <w:lang w:val="ro-RO"/>
        </w:rPr>
        <w:t>0</w:t>
      </w:r>
      <w:r w:rsidR="00B06534">
        <w:rPr>
          <w:rFonts w:ascii="Times New Roman" w:eastAsia="Calibri" w:hAnsi="Times New Roman"/>
          <w:b/>
          <w:sz w:val="24"/>
          <w:szCs w:val="24"/>
          <w:lang w:val="ro-RO"/>
        </w:rPr>
        <w:t>4</w:t>
      </w:r>
      <w:r>
        <w:rPr>
          <w:rFonts w:ascii="Times New Roman" w:eastAsia="Calibri" w:hAnsi="Times New Roman"/>
          <w:b/>
          <w:sz w:val="24"/>
          <w:szCs w:val="24"/>
          <w:lang w:val="ro-RO"/>
        </w:rPr>
        <w:t>.</w:t>
      </w:r>
      <w:r w:rsidR="00B06534">
        <w:rPr>
          <w:rFonts w:ascii="Times New Roman" w:eastAsia="Calibri" w:hAnsi="Times New Roman"/>
          <w:b/>
          <w:sz w:val="24"/>
          <w:szCs w:val="24"/>
          <w:lang w:val="ro-RO"/>
        </w:rPr>
        <w:t>1</w:t>
      </w:r>
      <w:r w:rsidR="00012B04">
        <w:rPr>
          <w:rFonts w:ascii="Times New Roman" w:eastAsia="Calibri" w:hAnsi="Times New Roman"/>
          <w:b/>
          <w:sz w:val="24"/>
          <w:szCs w:val="24"/>
          <w:lang w:val="ro-RO"/>
        </w:rPr>
        <w:t>1</w:t>
      </w:r>
      <w:r>
        <w:rPr>
          <w:rFonts w:ascii="Times New Roman" w:eastAsia="Calibri" w:hAnsi="Times New Roman"/>
          <w:b/>
          <w:sz w:val="24"/>
          <w:szCs w:val="24"/>
          <w:lang w:val="ro-RO"/>
        </w:rPr>
        <w:t>.202</w:t>
      </w:r>
      <w:r w:rsidR="00012B04">
        <w:rPr>
          <w:rFonts w:ascii="Times New Roman" w:eastAsia="Calibri" w:hAnsi="Times New Roman"/>
          <w:b/>
          <w:sz w:val="24"/>
          <w:szCs w:val="24"/>
          <w:lang w:val="ro-RO"/>
        </w:rPr>
        <w:t>4</w:t>
      </w:r>
    </w:p>
    <w:p w14:paraId="65DF8A6D" w14:textId="0F786DE6" w:rsidR="00A8123A" w:rsidRDefault="00A8123A" w:rsidP="00A8123A">
      <w:pPr>
        <w:autoSpaceDE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PRIVIND STABILIREA   IMPOZITELOR SI TAXELOR LOCALE PENTRU ANUL 202</w:t>
      </w:r>
      <w:r w:rsidR="009304D2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4BCE59E7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187CCDA4" w14:textId="5E4480DD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vedere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a)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(2), art. 16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(2), art. 20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b), art. 27, art. 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76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1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(3)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273/2006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finanțele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locale,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6E9BFE8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1, art.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h), precum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IX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227/2015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fiscal,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073EB04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52/2003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transparenta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decizionala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publica;</w:t>
      </w:r>
    </w:p>
    <w:p w14:paraId="0A0BDA17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80/2013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taxele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judiciare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timbru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3BA4B79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120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(1), art. 121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(2)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139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3848426" w14:textId="73C08D2A" w:rsidR="00A8123A" w:rsidRPr="009D226B" w:rsidRDefault="00A8123A" w:rsidP="009D226B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DCEA94E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207/2015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procedură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fiscală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C41E6C9" w14:textId="77777777" w:rsidR="00A8123A" w:rsidRDefault="00A8123A" w:rsidP="00A8123A">
      <w:pPr>
        <w:numPr>
          <w:ilvl w:val="0"/>
          <w:numId w:val="2"/>
        </w:numPr>
        <w:tabs>
          <w:tab w:val="left" w:pos="284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18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333/2003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paza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obiectivelor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bunurilor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valorilor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persoanelor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305F8C5" w14:textId="65532A96" w:rsidR="00A8123A" w:rsidRDefault="00A8123A" w:rsidP="00A8123A">
      <w:pPr>
        <w:tabs>
          <w:tab w:val="left" w:pos="284"/>
        </w:tabs>
        <w:suppressAutoHyphens/>
        <w:autoSpaceDE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</w:t>
      </w:r>
      <w:r w:rsidR="00CF4A04">
        <w:rPr>
          <w:rFonts w:ascii="Times New Roman" w:eastAsia="Times New Roman" w:hAnsi="Times New Roman"/>
          <w:sz w:val="24"/>
          <w:szCs w:val="24"/>
          <w:lang w:eastAsia="ro-RO"/>
        </w:rPr>
        <w:t>24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/</w:t>
      </w:r>
      <w:r w:rsidR="00CF4A04">
        <w:rPr>
          <w:rFonts w:ascii="Times New Roman" w:eastAsia="Times New Roman" w:hAnsi="Times New Roman"/>
          <w:sz w:val="24"/>
          <w:szCs w:val="24"/>
          <w:lang w:eastAsia="ro-RO"/>
        </w:rPr>
        <w:t>23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.04.202</w:t>
      </w:r>
      <w:r w:rsidR="00CF4A04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indexarea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impozitelor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taxelor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fiscal 202</w:t>
      </w:r>
      <w:r w:rsidR="00CF4A04">
        <w:rPr>
          <w:rFonts w:ascii="Times New Roman" w:eastAsia="Times New Roman" w:hAnsi="Times New Roman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725741C" w14:textId="53429BEE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129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(2) lit. b)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(4) lit. c), ale art. 139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ale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a)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9D226B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; </w:t>
      </w:r>
    </w:p>
    <w:p w14:paraId="62E42824" w14:textId="77777777" w:rsidR="00A8123A" w:rsidRDefault="00A8123A" w:rsidP="00A8123A">
      <w:pPr>
        <w:tabs>
          <w:tab w:val="left" w:pos="284"/>
        </w:tabs>
        <w:suppressAutoHyphens/>
        <w:autoSpaceDE/>
        <w:spacing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E4E257" w14:textId="77777777" w:rsidR="00A8123A" w:rsidRDefault="00A8123A" w:rsidP="00A8123A">
      <w:pPr>
        <w:tabs>
          <w:tab w:val="left" w:pos="284"/>
        </w:tabs>
        <w:suppressAutoHyphens/>
        <w:autoSpaceDE/>
        <w:spacing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HOTĂRĂȘTE:</w:t>
      </w:r>
    </w:p>
    <w:p w14:paraId="18CC07B6" w14:textId="77777777" w:rsidR="00A8123A" w:rsidRDefault="00A8123A" w:rsidP="00A8123A">
      <w:pPr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509E5E" w14:textId="35869A61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Art.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stabilesc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taxele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locale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012B0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conform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Anexei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nr. 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pr</w:t>
      </w:r>
      <w:r w:rsidR="00F410A2">
        <w:rPr>
          <w:rFonts w:ascii="Times New Roman" w:eastAsia="Times New Roman" w:hAnsi="Times New Roman"/>
          <w:sz w:val="24"/>
          <w:szCs w:val="24"/>
          <w:lang w:eastAsia="ar-SA"/>
        </w:rPr>
        <w:t>ezenta</w:t>
      </w:r>
      <w:proofErr w:type="spellEnd"/>
      <w:r w:rsidR="00F410A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hotărâre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DD86067" w14:textId="5D46279B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Art. 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determinarea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taxelor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locale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012B0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aplică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HCL nr. </w:t>
      </w:r>
      <w:r w:rsidR="00012B04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0653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.04.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 conform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căreia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fiscal 202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taxele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locale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datorate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contribuabili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indexează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cu </w:t>
      </w:r>
      <w:r w:rsidR="00B0653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B0653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%,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față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taxele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locale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aprobate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Ocoliș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nr. 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B06534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.12.202</w:t>
      </w:r>
      <w:r w:rsidR="00E7277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0F72A9B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Art. 3.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stabilirea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indexarea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cu rata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inflatiei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s-au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respectat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lit. n), pct.11 din HG 1/2016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referitor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rotunjire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respectiv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reducere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cand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fractiunile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in bani sunt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mici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de  50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bani,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majorare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cand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fractiunile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bani sunt de 50 de bani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”,</w:t>
      </w:r>
    </w:p>
    <w:p w14:paraId="152A5853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Art. 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plătesc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anual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 rate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egale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respectiv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148B1DBB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a) rata I,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la data de 31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martie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inclusiv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8003D8A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b) rata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II-a,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la data de 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septembrie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inclusiv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C45B038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Art. 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plata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anticipaţie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cladiri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teren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mijloacelor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transport,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datorate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intregul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an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catre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contribuabilii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la data de 31.03.2022,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acorda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bonificatie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10 %;</w:t>
      </w:r>
    </w:p>
    <w:p w14:paraId="1886536D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>Art. 6.</w:t>
      </w:r>
      <w:r>
        <w:rPr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Taxa pe clădiri/teren se plăteşte lunar, până la data de 25 a lunii următoare fiecărei luni din perioada de valabilitate a contractului prin care se transmite dreptul de concesiune, închiriere, administrare ori folosinţă</w:t>
      </w:r>
      <w:r>
        <w:rPr>
          <w:lang w:val="it-IT"/>
        </w:rPr>
        <w:t>;</w:t>
      </w:r>
    </w:p>
    <w:p w14:paraId="743B3278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>Art. 7.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cladiri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teren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mijloacele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transport sunt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datorate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intregul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an fiscal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persoana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care are 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proprietate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activul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la data de 31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decembrie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fiscal anterior,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fara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aceste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impozite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calculeze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fractiuni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 an;</w:t>
      </w:r>
    </w:p>
    <w:p w14:paraId="1E0C1670" w14:textId="77777777" w:rsidR="00A8123A" w:rsidRDefault="00A8123A" w:rsidP="00A8123A">
      <w:pPr>
        <w:tabs>
          <w:tab w:val="left" w:pos="510"/>
        </w:tabs>
        <w:suppressAutoHyphens/>
        <w:autoSpaceDE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Art. 8.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o-RO" w:eastAsia="ar-SA"/>
        </w:rPr>
        <w:t xml:space="preserve">Acordarea  de </w:t>
      </w:r>
      <w:proofErr w:type="spellStart"/>
      <w:r>
        <w:rPr>
          <w:rFonts w:ascii="Times New Roman" w:eastAsia="Calibri" w:hAnsi="Times New Roman"/>
          <w:sz w:val="24"/>
          <w:szCs w:val="24"/>
          <w:lang w:val="ro-RO" w:eastAsia="ar-SA"/>
        </w:rPr>
        <w:t>facilitati</w:t>
      </w:r>
      <w:proofErr w:type="spellEnd"/>
      <w:r>
        <w:rPr>
          <w:rFonts w:ascii="Times New Roman" w:eastAsia="Calibri" w:hAnsi="Times New Roman"/>
          <w:sz w:val="24"/>
          <w:szCs w:val="24"/>
          <w:lang w:val="ro-RO" w:eastAsia="ar-SA"/>
        </w:rPr>
        <w:t xml:space="preserve"> fiscale, de scutire sau reducere  la plata impozitului sunt redate in </w:t>
      </w:r>
      <w:r>
        <w:rPr>
          <w:rFonts w:ascii="Times New Roman" w:eastAsia="Calibri" w:hAnsi="Times New Roman"/>
          <w:b/>
          <w:sz w:val="24"/>
          <w:szCs w:val="24"/>
          <w:lang w:val="ro-RO" w:eastAsia="ar-SA"/>
        </w:rPr>
        <w:t>Anexa nr. 2</w:t>
      </w:r>
      <w:r>
        <w:rPr>
          <w:rFonts w:ascii="Times New Roman" w:eastAsia="Calibri" w:hAnsi="Times New Roman"/>
          <w:sz w:val="24"/>
          <w:szCs w:val="24"/>
          <w:lang w:val="ro-RO" w:eastAsia="ar-SA"/>
        </w:rPr>
        <w:t xml:space="preserve"> la proiectul de hotărâre;</w:t>
      </w:r>
    </w:p>
    <w:p w14:paraId="50C58F71" w14:textId="77777777" w:rsidR="00A8123A" w:rsidRDefault="00A8123A" w:rsidP="00A8123A">
      <w:pPr>
        <w:autoSpaceDE/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b/>
          <w:sz w:val="24"/>
          <w:szCs w:val="24"/>
          <w:lang w:val="ro-RO" w:eastAsia="ar-SA"/>
        </w:rPr>
        <w:t xml:space="preserve">    Art. 9</w:t>
      </w:r>
      <w:r>
        <w:rPr>
          <w:rFonts w:ascii="Calibri" w:eastAsia="Calibri" w:hAnsi="Calibri"/>
          <w:b/>
          <w:sz w:val="24"/>
          <w:szCs w:val="24"/>
          <w:lang w:val="ro-RO"/>
        </w:rPr>
        <w:t>.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aprobă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plafonul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obligaţiilor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fiscale restante,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datorate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debitorii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mai mari de 2000 lei, ce vor fi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menţionaţi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lista ce se va publica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trimestrial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ultima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primei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trimestrul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următor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celui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raportare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art. 162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. 2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lit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. b)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nr. 207/2015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Procedură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Fiscală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actualizat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;</w:t>
      </w:r>
      <w:proofErr w:type="gramEnd"/>
    </w:p>
    <w:p w14:paraId="461CCA33" w14:textId="77777777" w:rsidR="00A8123A" w:rsidRDefault="00A8123A" w:rsidP="00A8123A">
      <w:pPr>
        <w:autoSpaceDE/>
        <w:spacing w:line="276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C0B33F" w14:textId="0F91A69E" w:rsidR="00A8123A" w:rsidRPr="00FA3D60" w:rsidRDefault="00A8123A" w:rsidP="00A8123A">
      <w:pPr>
        <w:widowControl w:val="0"/>
        <w:suppressAutoHyphens/>
        <w:autoSpaceDE/>
        <w:autoSpaceDN/>
        <w:ind w:left="708" w:firstLine="57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</w:pPr>
      <w:proofErr w:type="gramStart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Pr</w:t>
      </w: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imar</w:t>
      </w: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,   </w:t>
      </w:r>
      <w:proofErr w:type="gramEnd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                    </w:t>
      </w:r>
      <w:proofErr w:type="spellStart"/>
      <w:r w:rsidR="008E72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Contrasemnează</w:t>
      </w:r>
      <w:proofErr w:type="spellEnd"/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</w:t>
      </w: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,                               </w:t>
      </w: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Dr. Alin Alexandru JUCAN  </w:t>
      </w: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               </w:t>
      </w: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  </w:t>
      </w: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</w:t>
      </w:r>
      <w:proofErr w:type="spellStart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Secretarul</w:t>
      </w:r>
      <w:proofErr w:type="spellEnd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general al  </w:t>
      </w:r>
      <w:proofErr w:type="spellStart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comunei</w:t>
      </w:r>
      <w:proofErr w:type="spellEnd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,</w:t>
      </w:r>
    </w:p>
    <w:p w14:paraId="2AA969A1" w14:textId="6BCF558B" w:rsidR="00A8123A" w:rsidRPr="00FA3D60" w:rsidRDefault="00A8123A" w:rsidP="00A8123A">
      <w:pPr>
        <w:widowControl w:val="0"/>
        <w:suppressAutoHyphens/>
        <w:autoSpaceDE/>
        <w:autoSpaceDN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</w:pP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</w:t>
      </w:r>
      <w:r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  </w:t>
      </w:r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>Paraschiva</w:t>
      </w:r>
      <w:proofErr w:type="spellEnd"/>
      <w:r w:rsidRPr="00FA3D60"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hi-IN" w:bidi="hi-IN"/>
        </w:rPr>
        <w:t xml:space="preserve"> CHIRICA</w:t>
      </w:r>
    </w:p>
    <w:p w14:paraId="40461523" w14:textId="77777777" w:rsidR="00A8123A" w:rsidRDefault="00A8123A" w:rsidP="00A8123A">
      <w:pPr>
        <w:autoSpaceDE/>
        <w:autoSpaceDN/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14:paraId="5C72FE16" w14:textId="77777777" w:rsidR="008A5733" w:rsidRDefault="008A5733"/>
    <w:sectPr w:rsidR="008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766D2"/>
    <w:multiLevelType w:val="hybridMultilevel"/>
    <w:tmpl w:val="A88A51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846"/>
    <w:multiLevelType w:val="hybridMultilevel"/>
    <w:tmpl w:val="04F8F71A"/>
    <w:lvl w:ilvl="0" w:tplc="8F0674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99955">
    <w:abstractNumId w:val="1"/>
  </w:num>
  <w:num w:numId="2" w16cid:durableId="20081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3"/>
    <w:rsid w:val="00012B04"/>
    <w:rsid w:val="00135491"/>
    <w:rsid w:val="00630246"/>
    <w:rsid w:val="008A5733"/>
    <w:rsid w:val="008E7260"/>
    <w:rsid w:val="009304D2"/>
    <w:rsid w:val="009D226B"/>
    <w:rsid w:val="009E2ED2"/>
    <w:rsid w:val="00A8123A"/>
    <w:rsid w:val="00B06534"/>
    <w:rsid w:val="00CB7DEA"/>
    <w:rsid w:val="00CF4A04"/>
    <w:rsid w:val="00D67F24"/>
    <w:rsid w:val="00E72776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7747"/>
  <w15:chartTrackingRefBased/>
  <w15:docId w15:val="{09C9B565-5F11-46F8-B6DA-CEC01E5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3A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8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4</cp:revision>
  <cp:lastPrinted>2024-12-20T10:56:00Z</cp:lastPrinted>
  <dcterms:created xsi:type="dcterms:W3CDTF">2024-12-03T07:36:00Z</dcterms:created>
  <dcterms:modified xsi:type="dcterms:W3CDTF">2024-12-20T10:57:00Z</dcterms:modified>
</cp:coreProperties>
</file>